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5 vom 30. April 1986</w:t>
      </w:r>
    </w:p>
    <w:p>
      <w:r>
        <w:t>Bundesgericht (BGE), 1986-04-30, DE</w:t>
      </w:r>
    </w:p>
    <w:p>
      <w:r>
        <w:rPr>
          <w:b/>
        </w:rPr>
        <w:t xml:space="preserve">Quelle: </w:t>
      </w:r>
      <w:r>
        <w:t>https://mcp.opencaselaw.ch/entscheid/bge_112 IA 5</w:t>
      </w:r>
    </w:p>
    <w:p>
      <w:r>
        <w:t>FR: BGE 112 IA 5 du 30 avril 1986</w:t>
      </w:r>
    </w:p>
    <w:p>
      <w:r>
        <w:t>IT: BGE 112 IA 5 del 30 aprile 1986</w:t>
      </w:r>
    </w:p>
    <w:p>
      <w:pPr>
        <w:pStyle w:val="Heading2"/>
      </w:pPr>
      <w:r>
        <w:t>Regeste</w:t>
      </w:r>
    </w:p>
    <w:p>
      <w:r>
        <w:t>Regeste Art. 4 BV; Verweigerung des rechtlichen Gehörs durch verspätete Einladung zu einem Augenschein. Lädt ein Gericht eine Partei erst am Morgen des Vortags zu einem Augenschein ein mit der Folge, dass sich diese nicht ordnungsgemäss vertreten lassen kann, so verweigert es ihr das rechtliche Gehör (E. 2).</w:t>
      </w:r>
    </w:p>
    <w:p>
      <w:pPr>
        <w:pStyle w:val="Heading2"/>
      </w:pPr>
      <w:r>
        <w:t>Erwägungen</w:t>
      </w:r>
    </w:p>
    <w:p>
      <w:r>
        <w:rPr>
          <w:b/>
        </w:rPr>
        <w:t>E. 2</w:t>
      </w:r>
    </w:p>
    <w:p>
      <w:r>
        <w:t>Die Beschwerdeführerin sieht sich dadurch in ihrem Anspruch auf rechtliches Gehör verletzt, dass sie zu spät zum Augenschein eingeladen worden sei und sich deshalb nicht durch einen Rechtsanwalt daran habe vertreten lassen können. a) ... b) Der Umfang des Anspruchs auf rechtliches Gehör wird zunächst von den kantonalen Verfahrensbestimmungen umschrieben; erst wo sich dieser Rechtsschutz als ungenügend erweist, greifen die unmittelbar aus Art. 4 BV folgenden bundesrechtlichen Minimalgarantien Platz. Da die Beschwerdeführerin keine Verletzung kantonaler Verfahrensvorschriften rügt, ist einzig und zwar mit freier Kognition zu prüfen, ob unmittelbar aus Art. 4 BV folgende Regeln missachtet wurden ( BGE 110 Ia 81 /82 E. 5b, 85 E. 3b, je mit Hinweisen). c) Entgegen der Auffassung des Verwaltungsgerichts ist es ohne Belang, ob es mangels entsprechender Parteianträge überhaupt nicht verpflichtet gewesen wäre, einen Augenschein durchzuführen. Wenn eine Behörde zu diesem Beweismittel greifen will, hat BGE 112 Ia 5 S. 6 sie das in den verfassungsrechtlich vorgeschriebenen Formen zu tun und die Grundsätze des rechtlichen Gehörs zu beachten ( BGE 104 Ib 122 E. 2c mit Hinweisen). Die an einem Verfahren Beteiligten, zu denen hier auch die Gemeinde Samedan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105 Ia 49 /50 E. 2a; BGE 104 Ia 71 E. 3b; BGE 104 Ib 121 E. 2a). Der erwähnte Anspruch auf gehörigen Beizug zu einem Augenschein umfasst auch das Anrecht auf eine rechtzeitige Vorladung. Danach sind die Adressaten so früh vorzuladen, dass sie rechtzeitig erscheinen können. Diese unmittelbar aus dem Gehörsanspruch von Art. 4 BV ableitbare Regel ergibt sich im übrigen auch aus dem bündnerischen Recht (Art. 29 des Gesetzes über die Verwaltungsgerichtsbarkeit im Kanton Graubünden vom 9. April 1967 i.V.m. Art. 70 Abs. 2 der damals noch anwendbaren Zivilprozessordnung des Kantons Graubünden vom 20. Juni 1954, heute: Art. 56 Abs. 2 der Zivilprozessordnung des Kantons Graubünden vom 1. Dezember 1985). Der Anspruch auf rechtzeitige Vorladung muss jedenfalls dann auch für den Rechtsvertreter eines Beteiligten gelten, wenn Rechtsfragen zur Sprache kommen. d) Wie erwähnt, hat die Gemeinde Samedan die Vorladung zum verwaltungsgerichtlichen Augenschein erst am Morgen des Vortags erhalten. Der als Anwalt tätige Gemeindepräsident und auch die andern ortsansässigen Anwälte waren an einer Teilnahme verhindert. Angesichts des verbleibenden Zeitraums von einem knappen Tag war es der Beschwerdeführerin nicht mehr zuzumuten, nach einem andern Anwalt zu suchen, der in der Lage gewesen wäre, sich vorzubereiten und am Augenschein teilzunehmen. Sie musste es deshalb bei einer Vertretung durch den kommunalen Baukontrolleur bewenden lassen. Zwar hat die Beschwerdeführerin kein ausdrückliches Verschiebungsgesuch gestellt; doch hat sie das Verwaltungsgericht zu Recht darauf aufmerksam gemacht, dass ihr keine Nachteile entstehen dürften. Der Augenschein selbst diente entgegen den Vernehmlassungen von Beschwerdegegnerin und Verwaltungsgericht nicht nur der Feststellung des Sachverhalts. In bezug auf die vorgesehene Nutzung BGE 112 Ia 5 S. 7 und die zu erwartende Lärmbelastung wurden auch Rechtsfragen erörtert. So geht etwa unmittelbar aus dem angefochtenen Entscheid hervor, dass der Vertreter der Bauherrin ausgeführt habe, Starts und Landungen von der Bauparzelle aus seien von Bundesrechts wegen verboten. Dabei handelt es sich um eine Rechtsfrage, von deren Beantwortung durch den Vertreter der Bauherrin das Verwaltungsgericht ausgegangen ist. Sodann führten verschiedene Aussagen des Vertreters der Bauherrin über die Art der Nutzung der projektierten Baute und die zu erwartenden Lärmimmissionen zu einer entsprechenden Behaftung. Dabei handelt es sich nicht um die Feststellung objektiv gegebener Tatsachen, sondern um die einseitige Darstellung des künftigen Zustandes durch eine Prozesspartei. Diese Ausführungen wurden von deren Anwalt in Kenntnis der massgebenden Vorschriften über den Immissionsschutz vorgetragen und waren für den Ausgang des Verfahrens vor dem Verwaltungsgericht entscheidend. Auch dieser Umstand hätte eine rechtskundige Vertretung der Beschwerdeführerin geboten. Verhält es sich so, hätte die Beschwerdeführerin Gelegenheit haben müssen, sich am Augenschein durch eine rechtskundige Person vertreten zu lassen. Das war ihr angesichts der ausserordentlich kurzen Vorladungsfrist kaum mehr möglich und deshalb nicht zuzumuten. Sie durfte sich unter diesen Umständen darauf verlassen, dass ihr zumindest nachträglich die Möglichkeit eingeräumt werde, zum Beweisergebnis und zu den Vorbringen des Vertreters der Bauherrin Stellung zu nehmen. Mangels gehöriger Möglichkeit einer nachträglichen Stellungnahme wurde ihr Anspruch auf rechtliches Gehör verletzt. Die Beschwerde ist daher gutzuheissen, soweit darauf eingetreten werden kann, und der angefochtene Entscheid ist aufzuheben. Dabei kommt es nicht darauf an, ob Aussicht besteht, dass nach erneuter Prüfung des Falls in einem korrekten Verfahren anders entschieden würde ( BGE 105 Ia 51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